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2D5F8A"/>
          <w:sz w:val="64"/>
        </w:rPr>
        <w:t>Technical</w:t>
        <w:br/>
        <w:t>Documentation</w:t>
        <w:br/>
        <w:t>Checklist</w:t>
      </w:r>
    </w:p>
    <w:p>
      <w:pPr>
        <w:jc w:val="center"/>
      </w:pPr>
      <w:r>
        <w:rPr>
          <w:color w:val="666666"/>
          <w:sz w:val="28"/>
        </w:rPr>
        <w:t>Annex IV EU AI Act Requirements</w:t>
        <w:br/>
        <w:t>For Providers of High-Risk AI Systems</w:t>
      </w:r>
    </w:p>
    <w:p/>
    <w:p/>
    <w:p/>
    <w:p/>
    <w:p>
      <w:pPr>
        <w:jc w:val="center"/>
      </w:pPr>
      <w:r>
        <w:rPr>
          <w:color w:val="999999"/>
          <w:sz w:val="20"/>
        </w:rPr>
        <w:t>Version 1.0  |  March 2026</w:t>
      </w:r>
    </w:p>
    <w:p>
      <w:pPr>
        <w:jc w:val="center"/>
      </w:pPr>
      <w:r>
        <w:rPr>
          <w:color w:val="57534E"/>
          <w:sz w:val="20"/>
        </w:rPr>
        <w:t>Responsible AI Platform</w:t>
      </w:r>
    </w:p>
    <w:p>
      <w:r>
        <w:br w:type="page"/>
      </w:r>
    </w:p>
    <w:p>
      <w:pPr>
        <w:pStyle w:val="Heading1"/>
      </w:pPr>
      <w:r>
        <w:t>Purpose</w:t>
      </w:r>
    </w:p>
    <w:p>
      <w:r>
        <w:t>Article 11 of the EU AI Act requires providers of high-risk AI systems to draw up technical documentation before placing the system on the market. This checklist covers all requirements specified in Annex IV.</w:t>
      </w:r>
    </w:p>
    <w:p>
      <w:pPr>
        <w:pStyle w:val="Heading2"/>
      </w:pPr>
      <w:r>
        <w:t>AI System Identification</w:t>
      </w:r>
    </w:p>
    <w:p>
      <w:r>
        <w:rPr>
          <w:b/>
        </w:rPr>
        <w:t>AI System Name: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Version: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Provider Organization: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Risk Classification: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Annex III Category: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Date of Assessment: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1. General Description (Annex IV, Section 1)</w:t>
      </w:r>
    </w:p>
    <w:p>
      <w:r>
        <w:rPr>
          <w:sz w:val="22"/>
        </w:rPr>
        <w:t>☐  Intended purpose of the AI system clearly described</w:t>
      </w:r>
    </w:p>
    <w:p>
      <w:r>
        <w:rPr>
          <w:sz w:val="22"/>
        </w:rPr>
        <w:t>☐  Name and contact details of the provider</w:t>
      </w:r>
    </w:p>
    <w:p>
      <w:r>
        <w:rPr>
          <w:sz w:val="22"/>
        </w:rPr>
        <w:t>☐  Version or date of the AI system and its history</w:t>
      </w:r>
    </w:p>
    <w:p>
      <w:r>
        <w:rPr>
          <w:sz w:val="22"/>
        </w:rPr>
        <w:t>☐  How the AI system interacts with hardware/software not part of the system</w:t>
      </w:r>
    </w:p>
    <w:p>
      <w:r>
        <w:rPr>
          <w:sz w:val="22"/>
        </w:rPr>
        <w:t>☐  Relevant versions of software or firmware and requirements for updates</w:t>
      </w:r>
    </w:p>
    <w:p>
      <w:r>
        <w:rPr>
          <w:sz w:val="22"/>
        </w:rPr>
        <w:t>☐  Description of the forms in which the AI system is placed on the market (embedded, standalone)</w:t>
      </w:r>
    </w:p>
    <w:p>
      <w:r>
        <w:rPr>
          <w:sz w:val="22"/>
        </w:rPr>
        <w:t>☐  Basic description of the AI system architecture and computational resources</w:t>
      </w:r>
    </w:p>
    <w:p>
      <w:r>
        <w:rPr>
          <w:sz w:val="22"/>
        </w:rPr>
        <w:t>☐  Description of the key design choices including rationale and assumptions</w:t>
      </w:r>
    </w:p>
    <w:p>
      <w:r>
        <w:rPr>
          <w:sz w:val="22"/>
        </w:rPr>
        <w:t>☐  Classification of the AI system and risk category with justification</w:t>
      </w:r>
    </w:p>
    <w:p>
      <w:r>
        <w:rPr>
          <w:sz w:val="22"/>
        </w:rPr>
        <w:t>☐  Description of intended purpose including specific geographic, behavioral, functional context</w:t>
      </w:r>
    </w:p>
    <w:p>
      <w:pPr>
        <w:pStyle w:val="Heading1"/>
      </w:pPr>
      <w:r>
        <w:t>2. Detailed Description of Elements (Annex IV, Section 2)</w:t>
      </w:r>
    </w:p>
    <w:p>
      <w:pPr>
        <w:pStyle w:val="Heading2"/>
      </w:pPr>
      <w:r>
        <w:t>2a. Development Process</w:t>
      </w:r>
    </w:p>
    <w:p>
      <w:r>
        <w:rPr>
          <w:sz w:val="22"/>
        </w:rPr>
        <w:t>☐  Development methodology described</w:t>
      </w:r>
    </w:p>
    <w:p>
      <w:r>
        <w:rPr>
          <w:sz w:val="22"/>
        </w:rPr>
        <w:t>☐  Design specifications and system architecture documented</w:t>
      </w:r>
    </w:p>
    <w:p>
      <w:r>
        <w:rPr>
          <w:sz w:val="22"/>
        </w:rPr>
        <w:t>☐  Data requirements and data governance approach documented</w:t>
      </w:r>
    </w:p>
    <w:p>
      <w:r>
        <w:rPr>
          <w:sz w:val="22"/>
        </w:rPr>
        <w:t>☐  Training methodology and techniques used described</w:t>
      </w:r>
    </w:p>
    <w:p>
      <w:r>
        <w:rPr>
          <w:sz w:val="22"/>
        </w:rPr>
        <w:t>☐  Validation and testing procedures documented</w:t>
      </w:r>
    </w:p>
    <w:p>
      <w:r>
        <w:rPr>
          <w:sz w:val="22"/>
        </w:rPr>
        <w:t>☐  Description of how the system was built and trained</w:t>
      </w:r>
    </w:p>
    <w:p>
      <w:pPr>
        <w:pStyle w:val="Heading2"/>
      </w:pPr>
      <w:r>
        <w:t>2b. Input Data</w:t>
      </w:r>
    </w:p>
    <w:p>
      <w:r>
        <w:rPr>
          <w:sz w:val="22"/>
        </w:rPr>
        <w:t>☐  Description of training, validation, and testing datasets</w:t>
      </w:r>
    </w:p>
    <w:p>
      <w:r>
        <w:rPr>
          <w:sz w:val="22"/>
        </w:rPr>
        <w:t>☐  Data collection methods and sources</w:t>
      </w:r>
    </w:p>
    <w:p>
      <w:r>
        <w:rPr>
          <w:sz w:val="22"/>
        </w:rPr>
        <w:t>☐  Data labeling procedures</w:t>
      </w:r>
    </w:p>
    <w:p>
      <w:r>
        <w:rPr>
          <w:sz w:val="22"/>
        </w:rPr>
        <w:t>☐  Data cleaning and preparation methods</w:t>
      </w:r>
    </w:p>
    <w:p>
      <w:r>
        <w:rPr>
          <w:sz w:val="22"/>
        </w:rPr>
        <w:t>☐  Assessment of data availability, quantity, and suitability</w:t>
      </w:r>
    </w:p>
    <w:p>
      <w:r>
        <w:rPr>
          <w:sz w:val="22"/>
        </w:rPr>
        <w:t>☐  Known data limitations, biases, or gaps</w:t>
      </w:r>
    </w:p>
    <w:p>
      <w:pPr>
        <w:pStyle w:val="Heading2"/>
      </w:pPr>
      <w:r>
        <w:t>2c. Human Oversight Measures</w:t>
      </w:r>
    </w:p>
    <w:p>
      <w:r>
        <w:rPr>
          <w:sz w:val="22"/>
        </w:rPr>
        <w:t>☐  Human oversight measures identified and documented</w:t>
      </w:r>
    </w:p>
    <w:p>
      <w:r>
        <w:rPr>
          <w:sz w:val="22"/>
        </w:rPr>
        <w:t>☐  Technical measures facilitating human interpretation of outputs</w:t>
      </w:r>
    </w:p>
    <w:p>
      <w:r>
        <w:rPr>
          <w:sz w:val="22"/>
        </w:rPr>
        <w:t>☐  Authority levels for human operators defined</w:t>
      </w:r>
    </w:p>
    <w:p>
      <w:r>
        <w:rPr>
          <w:sz w:val="22"/>
        </w:rPr>
        <w:t>☐  Override and stop mechanisms documented</w:t>
      </w:r>
    </w:p>
    <w:p>
      <w:r>
        <w:br w:type="page"/>
      </w:r>
    </w:p>
    <w:p>
      <w:pPr>
        <w:pStyle w:val="Heading1"/>
      </w:pPr>
      <w:r>
        <w:t>3. Monitoring, Functioning, Control (Annex IV, Section 3)</w:t>
      </w:r>
    </w:p>
    <w:p>
      <w:r>
        <w:rPr>
          <w:sz w:val="22"/>
        </w:rPr>
        <w:t>☐  Capabilities and limitations of the system described</w:t>
      </w:r>
    </w:p>
    <w:p>
      <w:r>
        <w:rPr>
          <w:sz w:val="22"/>
        </w:rPr>
        <w:t>☐  Degrees of accuracy for specific target groups documented</w:t>
      </w:r>
    </w:p>
    <w:p>
      <w:r>
        <w:rPr>
          <w:sz w:val="22"/>
        </w:rPr>
        <w:t>☐  Known or foreseeable unintended outcomes identified</w:t>
      </w:r>
    </w:p>
    <w:p>
      <w:r>
        <w:rPr>
          <w:sz w:val="22"/>
        </w:rPr>
        <w:t>☐  Human oversight measures specified per Article 14</w:t>
      </w:r>
    </w:p>
    <w:p>
      <w:r>
        <w:rPr>
          <w:sz w:val="22"/>
        </w:rPr>
        <w:t>☐  Technical specifications for input data described</w:t>
      </w:r>
    </w:p>
    <w:p>
      <w:pPr>
        <w:pStyle w:val="Heading1"/>
      </w:pPr>
      <w:r>
        <w:t>4. Risk Management System (Annex IV, Section 4)</w:t>
      </w:r>
    </w:p>
    <w:p>
      <w:r>
        <w:rPr>
          <w:sz w:val="22"/>
        </w:rPr>
        <w:t>☐  Risk management system described per Article 9</w:t>
      </w:r>
    </w:p>
    <w:p>
      <w:r>
        <w:rPr>
          <w:sz w:val="22"/>
        </w:rPr>
        <w:t>☐  Known and foreseeable risks identified</w:t>
      </w:r>
    </w:p>
    <w:p>
      <w:r>
        <w:rPr>
          <w:sz w:val="22"/>
        </w:rPr>
        <w:t>☐  Risk evaluation methodology described</w:t>
      </w:r>
    </w:p>
    <w:p>
      <w:r>
        <w:rPr>
          <w:sz w:val="22"/>
        </w:rPr>
        <w:t>☐  Risk mitigation measures documented</w:t>
      </w:r>
    </w:p>
    <w:p>
      <w:r>
        <w:rPr>
          <w:sz w:val="22"/>
        </w:rPr>
        <w:t>☐  Residual risks assessed and documented</w:t>
      </w:r>
    </w:p>
    <w:p>
      <w:r>
        <w:rPr>
          <w:sz w:val="22"/>
        </w:rPr>
        <w:t>☐  Testing for risk management system effectiveness documented</w:t>
      </w:r>
    </w:p>
    <w:p>
      <w:pPr>
        <w:pStyle w:val="Heading1"/>
      </w:pPr>
      <w:r>
        <w:t>5. Changes and Modifications (Annex IV, Section 5)</w:t>
      </w:r>
    </w:p>
    <w:p>
      <w:r>
        <w:rPr>
          <w:sz w:val="22"/>
        </w:rPr>
        <w:t>☐  Description of changes made during system lifecycle</w:t>
      </w:r>
    </w:p>
    <w:p>
      <w:r>
        <w:rPr>
          <w:sz w:val="22"/>
        </w:rPr>
        <w:t>☐  Pre-determined changes assessed at conformity assessment</w:t>
      </w:r>
    </w:p>
    <w:p>
      <w:r>
        <w:rPr>
          <w:sz w:val="22"/>
        </w:rPr>
        <w:t>☐  Substantial modification criteria defined</w:t>
      </w:r>
    </w:p>
    <w:p>
      <w:r>
        <w:rPr>
          <w:sz w:val="22"/>
        </w:rPr>
        <w:t>☐  Version control and change documentation procedures</w:t>
      </w:r>
    </w:p>
    <w:p>
      <w:r>
        <w:br w:type="page"/>
      </w:r>
    </w:p>
    <w:p>
      <w:pPr>
        <w:pStyle w:val="Heading1"/>
      </w:pPr>
      <w:r>
        <w:t>6. Performance Metrics (Annex IV, Section 6)</w:t>
      </w:r>
    </w:p>
    <w:p>
      <w:r>
        <w:rPr>
          <w:sz w:val="22"/>
        </w:rPr>
        <w:t>☐  Relevant performance metrics defined</w:t>
      </w:r>
    </w:p>
    <w:p>
      <w:r>
        <w:rPr>
          <w:sz w:val="22"/>
        </w:rPr>
        <w:t>☐  Accuracy metrics documented (precision, recall, F1, AUC-ROC)</w:t>
      </w:r>
    </w:p>
    <w:p>
      <w:r>
        <w:rPr>
          <w:sz w:val="22"/>
        </w:rPr>
        <w:t>☐  Robustness metrics documented</w:t>
      </w:r>
    </w:p>
    <w:p>
      <w:r>
        <w:rPr>
          <w:sz w:val="22"/>
        </w:rPr>
        <w:t>☐  Cybersecurity resilience metrics documented</w:t>
      </w:r>
    </w:p>
    <w:p>
      <w:r>
        <w:rPr>
          <w:sz w:val="22"/>
        </w:rPr>
        <w:t>☐  Fairness metrics documented (disparate impact, equal opportunity)</w:t>
      </w:r>
    </w:p>
    <w:p>
      <w:r>
        <w:rPr>
          <w:sz w:val="22"/>
        </w:rPr>
        <w:t>☐  Performance benchmarks and thresholds established</w:t>
      </w:r>
    </w:p>
    <w:p>
      <w:pPr>
        <w:pStyle w:val="Heading1"/>
      </w:pPr>
      <w:r>
        <w:t>7. Quality Management (Annex IV, Section 7)</w:t>
      </w:r>
    </w:p>
    <w:p>
      <w:r>
        <w:rPr>
          <w:sz w:val="22"/>
        </w:rPr>
        <w:t>☐  Quality management system described per Article 17</w:t>
      </w:r>
    </w:p>
    <w:p>
      <w:r>
        <w:rPr>
          <w:sz w:val="22"/>
        </w:rPr>
        <w:t>☐  Compliance with harmonized standards documented (if applicable)</w:t>
      </w:r>
    </w:p>
    <w:p>
      <w:r>
        <w:rPr>
          <w:sz w:val="22"/>
        </w:rPr>
        <w:t>☐  Post-market monitoring system described per Article 72</w:t>
      </w:r>
    </w:p>
    <w:p>
      <w:r>
        <w:rPr>
          <w:sz w:val="22"/>
        </w:rPr>
        <w:t>☐  Serious incident reporting procedures documented per Article 62</w:t>
      </w:r>
    </w:p>
    <w:p>
      <w:pPr>
        <w:pStyle w:val="Heading1"/>
      </w:pPr>
      <w:r>
        <w:t>8. EU Declaration of Conformity (Annex IV, Section 8)</w:t>
      </w:r>
    </w:p>
    <w:p>
      <w:r>
        <w:rPr>
          <w:sz w:val="22"/>
        </w:rPr>
        <w:t>☐  EU Declaration of Conformity drawn up per Article 47</w:t>
      </w:r>
    </w:p>
    <w:p>
      <w:r>
        <w:rPr>
          <w:sz w:val="22"/>
        </w:rPr>
        <w:t>☐  CE marking affixed per Article 48</w:t>
      </w:r>
    </w:p>
    <w:p>
      <w:r>
        <w:rPr>
          <w:sz w:val="22"/>
        </w:rPr>
        <w:t>☐  Registration in EU database completed per Article 49</w:t>
      </w:r>
    </w:p>
    <w:p>
      <w:r>
        <w:rPr>
          <w:sz w:val="22"/>
        </w:rPr>
        <w:t>☐  Instructions for use provided per Article 13</w:t>
      </w:r>
    </w:p>
    <w:p>
      <w:r>
        <w:br w:type="page"/>
      </w:r>
    </w:p>
    <w:p>
      <w:pPr>
        <w:pStyle w:val="Heading1"/>
      </w:pPr>
      <w:r>
        <w:t>Assessment Summary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Section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Status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Responsible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Notes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1. General Description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☐ Complete / ☐ In Progress / ☐ N/A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2. Detailed Description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☐ Complete / ☐ In Progress / ☐ N/A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3. Monitoring &amp; Control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☐ Complete / ☐ In Progress / ☐ N/A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4. Risk Management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☐ Complete / ☐ In Progress / ☐ N/A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5. Changes &amp; Modifications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☐ Complete / ☐ In Progress / ☐ N/A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6. Performance Metrics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☐ Complete / ☐ In Progress / ☐ N/A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7. Quality Management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☐ Complete / ☐ In Progress / ☐ N/A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8. Declaration of Conformity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☐ Complete / ☐ In Progress / ☐ N/A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</w:tbl>
    <w:p/>
    <w:p>
      <w:r>
        <w:rPr>
          <w:b/>
        </w:rPr>
        <w:t>Assessed by: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Date: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Approved by:</w:t>
      </w:r>
    </w:p>
    <w:p>
      <w:r>
        <w:rPr>
          <w:color w:val="CCCCCC"/>
        </w:rPr>
        <w:t>________________________________________________________________________________</w:t>
      </w:r>
    </w:p>
    <w:p>
      <w:pPr>
        <w:jc w:val="center"/>
      </w:pPr>
      <w:r>
        <w:rPr>
          <w:color w:val="AAAAAA"/>
          <w:sz w:val="16"/>
        </w:rPr>
        <w:br/>
        <w:br/>
        <w:t>Template provided by Responsible AI Platform | www.aiactblog.nl</w:t>
      </w:r>
    </w:p>
    <w:p>
      <w:r>
        <w:br w:type="page"/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32120" cy="782527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chnical-documentation-checklist-docx-cta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78252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sz w:val="16"/>
        </w:rPr>
        <w:t xml:space="preserve">Klikbare links: </w:t>
      </w:r>
      <w:hyperlink r:id="rId16">
        <w:r>
          <w:rPr>
            <w:b/>
            <w:color w:val="6366F1"/>
            <w:u w:val="single"/>
          </w:rPr>
          <w:t xml:space="preserve">Start de AI Act quickscan</w:t>
        </w:r>
      </w:hyperlink>
      <w:r>
        <w:rPr>
          <w:sz w:val="16"/>
        </w:rPr>
        <w:t xml:space="preserve">  |  </w:t>
      </w:r>
      <w:hyperlink r:id="rId17">
        <w:r>
          <w:rPr>
            <w:b/>
            <w:color w:val="6366F1"/>
            <w:u w:val="single"/>
          </w:rPr>
          <w:t xml:space="preserve">Bepaal teamgaps per rol</w:t>
        </w:r>
      </w:hyperlink>
    </w:p>
    <w:p>
      <w:pPr>
        <w:jc w:val="center"/>
      </w:pPr>
      <w:r>
        <w:rPr>
          <w:color w:val="FFFFFF"/>
          <w:sz w:val="2"/>
        </w:rPr>
        <w:t>AIACT_BRANDED_CTA_V2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548640" cy="54864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aiactblog-squa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" cy="54864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2D5F8A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2D5F8A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2D5F8A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Relationship Id="rId12" Type="http://schemas.openxmlformats.org/officeDocument/2006/relationships/hyperlink" Target="https://www.embedai.nl/nl/diensten/ai-act-readiness-sprint?utm_source=template&amp;utm_medium=docx&amp;utm_campaign=technical-documentation-checklist&amp;utm_content=next-steps-sprint" TargetMode="External"/><Relationship Id="rId13" Type="http://schemas.openxmlformats.org/officeDocument/2006/relationships/image" Target="media/image3.png"/><Relationship Id="rId14" Type="http://schemas.openxmlformats.org/officeDocument/2006/relationships/hyperlink" Target="https://learnwize.ai/try?utm_source=template&amp;utm_medium=docx&amp;utm_campaign=technical-documentation-checklist&amp;utm_content=next-steps-academy" TargetMode="External"/><Relationship Id="rId15" Type="http://schemas.openxmlformats.org/officeDocument/2006/relationships/image" Target="media/image4.png"/><Relationship Id="rId16" Type="http://schemas.openxmlformats.org/officeDocument/2006/relationships/hyperlink" Target="https://embedai.nl/nl/tools/ai-readiness-quickscan?utm_source=template&amp;utm_medium=docx&amp;utm_campaign=technical-documentation-checklist&amp;utm_content=embed_ai_quickscan" TargetMode="External"/><Relationship Id="rId17" Type="http://schemas.openxmlformats.org/officeDocument/2006/relationships/hyperlink" Target="https://learnwize.ai/nl/assessment?utm_source=template&amp;utm_medium=docx&amp;utm_campaign=technical-documentation-checklist&amp;utm_content=learnwize_assessment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