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/>
    <w:p/>
    <w:p/>
    <w:p/>
    <w:p>
      <w:pPr>
        <w:jc w:val="center"/>
      </w:pPr>
      <w:r>
        <w:rPr>
          <w:b/>
          <w:color w:val="2D5F8A"/>
          <w:sz w:val="64"/>
        </w:rPr>
        <w:t>Conformity</w:t>
        <w:br/>
        <w:t>Assessment</w:t>
        <w:br/>
        <w:t>Roadmap</w:t>
      </w:r>
    </w:p>
    <w:p>
      <w:pPr>
        <w:jc w:val="center"/>
      </w:pPr>
      <w:r>
        <w:rPr>
          <w:color w:val="666666"/>
          <w:sz w:val="28"/>
        </w:rPr>
        <w:t>Step-by-Step Guide for High-Risk AI Systems</w:t>
        <w:br/>
        <w:t>Articles 40-49 EU AI Act</w:t>
      </w:r>
    </w:p>
    <w:p/>
    <w:p/>
    <w:p/>
    <w:p/>
    <w:p>
      <w:pPr>
        <w:jc w:val="center"/>
      </w:pPr>
      <w:r>
        <w:rPr>
          <w:color w:val="999999"/>
          <w:sz w:val="20"/>
        </w:rPr>
        <w:t>Version 1.0  |  March 2026</w:t>
      </w:r>
    </w:p>
    <w:p>
      <w:pPr>
        <w:jc w:val="center"/>
      </w:pPr>
      <w:r>
        <w:rPr>
          <w:color w:val="57534E"/>
          <w:sz w:val="20"/>
        </w:rPr>
        <w:t>Responsible AI Platform</w:t>
      </w:r>
    </w:p>
    <w:p>
      <w:r>
        <w:br w:type="page"/>
      </w:r>
    </w:p>
    <w:p>
      <w:pPr>
        <w:pStyle w:val="Heading1"/>
      </w:pPr>
      <w:r>
        <w:t>1. Introduction</w:t>
      </w:r>
    </w:p>
    <w:p>
      <w:r>
        <w:t>Before a high-risk AI system can be placed on the EU market or put into service, providers must demonstrate that it complies with the requirements of the EU AI Act through a conformity assessment procedure. This roadmap guides you through each step.</w:t>
      </w:r>
    </w:p>
    <w:p>
      <w:pPr>
        <w:pStyle w:val="Heading1"/>
      </w:pPr>
      <w:r>
        <w:t>2. When is Conformity Assessment Required?</w:t>
      </w:r>
    </w:p>
    <w:p>
      <w:r>
        <w:t>A conformity assessment is required when:</w:t>
      </w:r>
    </w:p>
    <w:p>
      <w:pPr>
        <w:pStyle w:val="ListBullet"/>
      </w:pPr>
      <w:r>
        <w:t>You are a provider of a high-risk AI system (Annex III)</w:t>
      </w:r>
    </w:p>
    <w:p>
      <w:pPr>
        <w:pStyle w:val="ListBullet"/>
      </w:pPr>
      <w:r>
        <w:t>Your AI system is a safety component of a product covered by Annex I legislation</w:t>
      </w:r>
    </w:p>
    <w:p>
      <w:pPr>
        <w:pStyle w:val="ListBullet"/>
      </w:pPr>
      <w:r>
        <w:t>You make a substantial modification to an already-assessed high-risk AI system</w:t>
      </w:r>
    </w:p>
    <w:p>
      <w:pPr>
        <w:pStyle w:val="ListBullet"/>
      </w:pPr>
      <w:r>
        <w:t>You are an importer or distributor who places the system under your own name/brand</w:t>
      </w:r>
    </w:p>
    <w:p>
      <w:pPr>
        <w:pStyle w:val="Heading1"/>
      </w:pPr>
      <w:r>
        <w:t>3. Assessment Routes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  <w:sz w:val="20"/>
              </w:rPr>
              <w:t>Route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When It Applies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Procedure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Internal control (Annex VI)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Most Annex III high-risk AI systems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Self-assessment by the provider based on internal quality management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Third-party assessment (Annex VII)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Biometric identification systems (Annex III, point 1)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Assessment by a notified body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Product legislation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AI as safety component under Annex I (e.g., medical devices, machinery)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Follow existing conformity procedure of product legislation + AI Act requirements</w:t>
            </w:r>
          </w:p>
        </w:tc>
      </w:tr>
    </w:tbl>
    <w:p/>
    <w:p>
      <w:r>
        <w:br w:type="page"/>
      </w:r>
    </w:p>
    <w:p>
      <w:pPr>
        <w:pStyle w:val="Heading1"/>
      </w:pPr>
      <w:r>
        <w:t>4. Step-by-Step Roadmap</w:t>
      </w:r>
    </w:p>
    <w:p>
      <w:pPr>
        <w:pStyle w:val="Heading2"/>
      </w:pPr>
      <w:r>
        <w:t>Step 1: Determine Your Role</w:t>
      </w:r>
    </w:p>
    <w:p>
      <w:pPr>
        <w:pStyle w:val="ListBullet"/>
      </w:pPr>
      <w:r>
        <w:t>Confirm you are the provider (developer or entity placing on market)</w:t>
      </w:r>
    </w:p>
    <w:p>
      <w:pPr>
        <w:pStyle w:val="ListBullet"/>
      </w:pPr>
      <w:r>
        <w:t>If you are deployer only: conformity assessment is not your obligation, but verify provider compliance</w:t>
      </w:r>
    </w:p>
    <w:p>
      <w:pPr>
        <w:pStyle w:val="ListBullet"/>
      </w:pPr>
      <w:r>
        <w:t>If you substantially modify a system: you become a new provider (Article 25)</w:t>
      </w:r>
    </w:p>
    <w:p>
      <w:pPr>
        <w:pStyle w:val="Heading2"/>
      </w:pPr>
      <w:r>
        <w:t>Step 2: Classify the AI System</w:t>
      </w:r>
    </w:p>
    <w:p>
      <w:pPr>
        <w:pStyle w:val="ListBullet"/>
      </w:pPr>
      <w:r>
        <w:t>Determine if system falls under Annex III categories</w:t>
      </w:r>
    </w:p>
    <w:p>
      <w:pPr>
        <w:pStyle w:val="ListBullet"/>
      </w:pPr>
      <w:r>
        <w:t>Check if system is safety component under Annex I product legislation</w:t>
      </w:r>
    </w:p>
    <w:p>
      <w:pPr>
        <w:pStyle w:val="ListBullet"/>
      </w:pPr>
      <w:r>
        <w:t>Document classification rationale with article references</w:t>
      </w:r>
    </w:p>
    <w:p>
      <w:pPr>
        <w:pStyle w:val="ListBullet"/>
      </w:pPr>
      <w:r>
        <w:t>Consider exception: AI systems under Annex III that do not pose significant risk to health, safety, or fundamental rights may be excluded if conditions in Article 6(3) are met</w:t>
      </w:r>
    </w:p>
    <w:p>
      <w:pPr>
        <w:pStyle w:val="Heading2"/>
      </w:pPr>
      <w:r>
        <w:t>Step 3: Identify Applicable Standards</w:t>
      </w:r>
    </w:p>
    <w:p>
      <w:pPr>
        <w:pStyle w:val="ListBullet"/>
      </w:pPr>
      <w:r>
        <w:t>Check for harmonized standards published in the Official Journal (Article 40)</w:t>
      </w:r>
    </w:p>
    <w:p>
      <w:pPr>
        <w:pStyle w:val="ListBullet"/>
      </w:pPr>
      <w:r>
        <w:t>If no harmonized standards exist: follow common specifications adopted by Commission (Article 41)</w:t>
      </w:r>
    </w:p>
    <w:p>
      <w:pPr>
        <w:pStyle w:val="ListBullet"/>
      </w:pPr>
      <w:r>
        <w:t>Document which standards or specifications your system complies with</w:t>
      </w:r>
    </w:p>
    <w:p>
      <w:pPr>
        <w:pStyle w:val="ListBullet"/>
      </w:pPr>
      <w:r>
        <w:t>Compliance with harmonized standards creates presumption of conformity</w:t>
      </w:r>
    </w:p>
    <w:p>
      <w:pPr>
        <w:pStyle w:val="Heading2"/>
      </w:pPr>
      <w:r>
        <w:t>Step 4: Implement Requirements</w:t>
      </w:r>
    </w:p>
    <w:p>
      <w:pPr>
        <w:pStyle w:val="ListBullet"/>
      </w:pPr>
      <w:r>
        <w:t>Risk management system (Article 9)</w:t>
      </w:r>
    </w:p>
    <w:p>
      <w:pPr>
        <w:pStyle w:val="ListBullet"/>
      </w:pPr>
      <w:r>
        <w:t>Data governance (Article 10)</w:t>
      </w:r>
    </w:p>
    <w:p>
      <w:pPr>
        <w:pStyle w:val="ListBullet"/>
      </w:pPr>
      <w:r>
        <w:t>Technical documentation (Article 11, Annex IV)</w:t>
      </w:r>
    </w:p>
    <w:p>
      <w:pPr>
        <w:pStyle w:val="ListBullet"/>
      </w:pPr>
      <w:r>
        <w:t>Record-keeping / logging (Article 12)</w:t>
      </w:r>
    </w:p>
    <w:p>
      <w:pPr>
        <w:pStyle w:val="ListBullet"/>
      </w:pPr>
      <w:r>
        <w:t>Transparency and information to deployers (Article 13)</w:t>
      </w:r>
    </w:p>
    <w:p>
      <w:pPr>
        <w:pStyle w:val="ListBullet"/>
      </w:pPr>
      <w:r>
        <w:t>Human oversight measures (Article 14)</w:t>
      </w:r>
    </w:p>
    <w:p>
      <w:pPr>
        <w:pStyle w:val="ListBullet"/>
      </w:pPr>
      <w:r>
        <w:t>Accuracy, robustness, cybersecurity (Article 15)</w:t>
      </w:r>
    </w:p>
    <w:p>
      <w:pPr>
        <w:pStyle w:val="ListBullet"/>
      </w:pPr>
      <w:r>
        <w:t>Quality management system (Article 17)</w:t>
      </w:r>
    </w:p>
    <w:p>
      <w:pPr>
        <w:pStyle w:val="Heading2"/>
      </w:pPr>
      <w:r>
        <w:t>Step 5: Prepare Technical Documentation</w:t>
      </w:r>
    </w:p>
    <w:p>
      <w:pPr>
        <w:pStyle w:val="ListBullet"/>
      </w:pPr>
      <w:r>
        <w:t>Complete Annex IV documentation requirements</w:t>
      </w:r>
    </w:p>
    <w:p>
      <w:pPr>
        <w:pStyle w:val="ListBullet"/>
      </w:pPr>
      <w:r>
        <w:t>Use the Technical Documentation Checklist template</w:t>
      </w:r>
    </w:p>
    <w:p>
      <w:pPr>
        <w:pStyle w:val="ListBullet"/>
      </w:pPr>
      <w:r>
        <w:t>Ensure documentation is kept up-to-date</w:t>
      </w:r>
    </w:p>
    <w:p>
      <w:pPr>
        <w:pStyle w:val="ListBullet"/>
      </w:pPr>
      <w:r>
        <w:t>Documentation must be available to national authorities for 10 years</w:t>
      </w:r>
    </w:p>
    <w:p>
      <w:pPr>
        <w:pStyle w:val="Heading2"/>
      </w:pPr>
      <w:r>
        <w:t>Step 6: Conduct the Assessment</w:t>
      </w:r>
    </w:p>
    <w:p>
      <w:pPr>
        <w:pStyle w:val="ListBullet"/>
      </w:pPr>
      <w:r>
        <w:t>ROUTE A (Internal): Follow Annex VI procedure</w:t>
      </w:r>
    </w:p>
    <w:p>
      <w:pPr>
        <w:ind w:left="850"/>
      </w:pPr>
      <w:r>
        <w:t>Verify quality management system covers AI Act requirements</w:t>
      </w:r>
    </w:p>
    <w:p>
      <w:pPr>
        <w:ind w:left="850"/>
      </w:pPr>
      <w:r>
        <w:t>Verify technical documentation demonstrates compliance</w:t>
      </w:r>
    </w:p>
    <w:p>
      <w:pPr>
        <w:ind w:left="850"/>
      </w:pPr>
      <w:r>
        <w:t>Internal review and sign-off by authorized person</w:t>
      </w:r>
    </w:p>
    <w:p/>
    <w:p>
      <w:pPr>
        <w:pStyle w:val="ListBullet"/>
      </w:pPr>
      <w:r>
        <w:t>ROUTE B (Third-party): Follow Annex VII procedure</w:t>
      </w:r>
    </w:p>
    <w:p>
      <w:pPr>
        <w:ind w:left="850"/>
      </w:pPr>
      <w:r>
        <w:t>Select a notified body (check EU NANDO database)</w:t>
      </w:r>
    </w:p>
    <w:p>
      <w:pPr>
        <w:ind w:left="850"/>
      </w:pPr>
      <w:r>
        <w:t>Submit application with technical documentation</w:t>
      </w:r>
    </w:p>
    <w:p>
      <w:pPr>
        <w:ind w:left="850"/>
      </w:pPr>
      <w:r>
        <w:t>Cooperate with notified body during assessment</w:t>
      </w:r>
    </w:p>
    <w:p>
      <w:pPr>
        <w:ind w:left="850"/>
      </w:pPr>
      <w:r>
        <w:t>Address any non-conformities identified</w:t>
      </w:r>
    </w:p>
    <w:p>
      <w:pPr>
        <w:pStyle w:val="Heading2"/>
      </w:pPr>
      <w:r>
        <w:t>Step 7: Draw Up EU Declaration of Conformity</w:t>
      </w:r>
    </w:p>
    <w:p>
      <w:pPr>
        <w:pStyle w:val="ListBullet"/>
      </w:pPr>
      <w:r>
        <w:t>Create declaration per Article 47 and Annex V</w:t>
      </w:r>
    </w:p>
    <w:p>
      <w:pPr>
        <w:pStyle w:val="ListBullet"/>
      </w:pPr>
      <w:r>
        <w:t>Include: provider name, AI system identification, statement of compliance</w:t>
      </w:r>
    </w:p>
    <w:p>
      <w:pPr>
        <w:pStyle w:val="ListBullet"/>
      </w:pPr>
      <w:r>
        <w:t>Reference standards and specifications used</w:t>
      </w:r>
    </w:p>
    <w:p>
      <w:pPr>
        <w:pStyle w:val="ListBullet"/>
      </w:pPr>
      <w:r>
        <w:t>Sign and date the declaration</w:t>
      </w:r>
    </w:p>
    <w:p>
      <w:pPr>
        <w:pStyle w:val="ListBullet"/>
      </w:pPr>
      <w:r>
        <w:t>Keep declaration for 10 years after system is placed on market</w:t>
      </w:r>
    </w:p>
    <w:p>
      <w:pPr>
        <w:pStyle w:val="Heading2"/>
      </w:pPr>
      <w:r>
        <w:t>Step 8: Affix CE Marking</w:t>
      </w:r>
    </w:p>
    <w:p>
      <w:pPr>
        <w:pStyle w:val="ListBullet"/>
      </w:pPr>
      <w:r>
        <w:t>Affix CE marking visibly, legibly, and indelibly (Article 48)</w:t>
      </w:r>
    </w:p>
    <w:p>
      <w:pPr>
        <w:pStyle w:val="ListBullet"/>
      </w:pPr>
      <w:r>
        <w:t>If not possible on the system itself: affix on packaging or documentation</w:t>
      </w:r>
    </w:p>
    <w:p>
      <w:pPr>
        <w:pStyle w:val="ListBullet"/>
      </w:pPr>
      <w:r>
        <w:t>CE marking indicates compliance with EU AI Act requirements</w:t>
      </w:r>
    </w:p>
    <w:p>
      <w:pPr>
        <w:pStyle w:val="Heading2"/>
      </w:pPr>
      <w:r>
        <w:t>Step 9: Register in EU Database</w:t>
      </w:r>
    </w:p>
    <w:p>
      <w:pPr>
        <w:pStyle w:val="ListBullet"/>
      </w:pPr>
      <w:r>
        <w:t>Register the AI system in the EU database per Article 49</w:t>
      </w:r>
    </w:p>
    <w:p>
      <w:pPr>
        <w:pStyle w:val="ListBullet"/>
      </w:pPr>
      <w:r>
        <w:t>Provider registration includes system details and declaration of conformity</w:t>
      </w:r>
    </w:p>
    <w:p>
      <w:pPr>
        <w:pStyle w:val="ListBullet"/>
      </w:pPr>
      <w:r>
        <w:t>Registration must be done before the system is placed on the market</w:t>
      </w:r>
    </w:p>
    <w:p>
      <w:pPr>
        <w:pStyle w:val="ListBullet"/>
      </w:pPr>
      <w:r>
        <w:t>Keep registration information up-to-date</w:t>
      </w:r>
    </w:p>
    <w:p>
      <w:pPr>
        <w:pStyle w:val="Heading2"/>
      </w:pPr>
      <w:r>
        <w:t>Step 10: Post-Market Monitoring</w:t>
      </w:r>
    </w:p>
    <w:p>
      <w:pPr>
        <w:pStyle w:val="ListBullet"/>
      </w:pPr>
      <w:r>
        <w:t>Establish post-market monitoring system (Article 72)</w:t>
      </w:r>
    </w:p>
    <w:p>
      <w:pPr>
        <w:pStyle w:val="ListBullet"/>
      </w:pPr>
      <w:r>
        <w:t>Proportionate to nature and risk level of the AI system</w:t>
      </w:r>
    </w:p>
    <w:p>
      <w:pPr>
        <w:pStyle w:val="ListBullet"/>
      </w:pPr>
      <w:r>
        <w:t>Actively collect and review relevant data from deployers</w:t>
      </w:r>
    </w:p>
    <w:p>
      <w:pPr>
        <w:pStyle w:val="ListBullet"/>
      </w:pPr>
      <w:r>
        <w:t>Evaluate continued compliance with requirements</w:t>
      </w:r>
    </w:p>
    <w:p>
      <w:pPr>
        <w:pStyle w:val="ListBullet"/>
      </w:pPr>
      <w:r>
        <w:t>Report serious incidents within defined timelines (Article 62)</w:t>
      </w:r>
    </w:p>
    <w:p>
      <w:pPr>
        <w:pStyle w:val="ListBullet"/>
      </w:pPr>
      <w:r>
        <w:t>Implement corrective actions when non-compliance is identified</w:t>
      </w:r>
    </w:p>
    <w:p>
      <w:r>
        <w:br w:type="page"/>
      </w:r>
    </w:p>
    <w:p>
      <w:pPr>
        <w:pStyle w:val="Heading1"/>
      </w:pPr>
      <w:r>
        <w:t>5. Timeline Planning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  <w:sz w:val="20"/>
              </w:rPr>
              <w:t>Phase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Estimated Duration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Status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Target Date</w:t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1. Role &amp; classification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1-2 weeks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☐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2. Standards identification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1-2 weeks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☐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3. Requirements implementation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2-6 months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☐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4. Technical documentation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1-3 months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☐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5. Internal assessment (or notified body)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1-3 months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☐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6. Declaration of conformity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1 week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☐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7. CE marking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1 day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☐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8. EU database registration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1 week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☐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160"/>
          </w:tcPr>
          <w:p>
            <w:r>
              <w:rPr>
                <w:sz w:val="20"/>
              </w:rPr>
              <w:t>9. Post-market monitoring setup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1-2 months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  <w:t>☐</w:t>
            </w:r>
          </w:p>
        </w:tc>
        <w:tc>
          <w:tcPr>
            <w:tcW w:type="dxa" w:w="2160"/>
          </w:tcPr>
          <w:p>
            <w:r>
              <w:rPr>
                <w:sz w:val="20"/>
              </w:rPr>
            </w:r>
          </w:p>
        </w:tc>
      </w:tr>
    </w:tbl>
    <w:p/>
    <w:p>
      <w:pPr>
        <w:pStyle w:val="Heading1"/>
      </w:pPr>
      <w:r>
        <w:t>6. Key Articles Reference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b/>
                <w:sz w:val="20"/>
              </w:rPr>
              <w:t>Article</w:t>
            </w:r>
          </w:p>
        </w:tc>
        <w:tc>
          <w:tcPr>
            <w:tcW w:type="dxa" w:w="4320"/>
          </w:tcPr>
          <w:p>
            <w:r>
              <w:rPr>
                <w:b/>
                <w:sz w:val="20"/>
              </w:rPr>
              <w:t>Topic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Art. 6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Classification of high-risk AI systems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Art. 9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Risk management system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Art. 10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Data and data governance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Art. 11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Technical documentation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Art. 12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Record-keeping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Art. 13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Transparency and provision of information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Art. 14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Human oversight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Art. 15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Accuracy, robustness, cybersecurity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Art. 17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Quality management system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Art. 40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Harmonised standards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Art. 43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Conformity assessment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Art. 47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EU declaration of conformity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Art. 48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CE marking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Art. 49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Registration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Art. 62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Reporting of serious incidents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Art. 72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Post-market monitoring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Annex IV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Technical documentation requirements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Annex V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EU declaration of conformity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Annex VI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Internal control procedure</w:t>
            </w:r>
          </w:p>
        </w:tc>
      </w:tr>
      <w:tr>
        <w:tc>
          <w:tcPr>
            <w:tcW w:type="dxa" w:w="4320"/>
          </w:tcPr>
          <w:p>
            <w:r>
              <w:rPr>
                <w:sz w:val="20"/>
              </w:rPr>
              <w:t>Annex VII</w:t>
            </w:r>
          </w:p>
        </w:tc>
        <w:tc>
          <w:tcPr>
            <w:tcW w:type="dxa" w:w="4320"/>
          </w:tcPr>
          <w:p>
            <w:r>
              <w:rPr>
                <w:sz w:val="20"/>
              </w:rPr>
              <w:t>Conformity assessment with notified body</w:t>
            </w:r>
          </w:p>
        </w:tc>
      </w:tr>
    </w:tbl>
    <w:p/>
    <w:p>
      <w:r>
        <w:br w:type="page"/>
      </w:r>
    </w:p>
    <w:p>
      <w:pPr>
        <w:pStyle w:val="Heading1"/>
      </w:pPr>
      <w:r>
        <w:t>7. Progress Tracker</w:t>
      </w:r>
    </w:p>
    <w:p>
      <w:r>
        <w:rPr>
          <w:b/>
        </w:rPr>
        <w:t>AI System Name:</w:t>
      </w:r>
    </w:p>
    <w:p>
      <w:r>
        <w:rPr>
          <w:color w:val="CCCCCC"/>
        </w:rPr>
        <w:t>________________________________________________________________________________</w:t>
      </w:r>
    </w:p>
    <w:p>
      <w:r>
        <w:rPr>
          <w:b/>
        </w:rPr>
        <w:t>Provider:</w:t>
      </w:r>
    </w:p>
    <w:p>
      <w:r>
        <w:rPr>
          <w:color w:val="CCCCCC"/>
        </w:rPr>
        <w:t>________________________________________________________________________________</w:t>
      </w:r>
    </w:p>
    <w:p>
      <w:r>
        <w:rPr>
          <w:b/>
        </w:rPr>
        <w:t>Assessment Route:</w:t>
      </w:r>
    </w:p>
    <w:p>
      <w:r>
        <w:rPr>
          <w:color w:val="CCCCCC"/>
        </w:rPr>
        <w:t>________________________________________________________________________________</w:t>
      </w:r>
    </w:p>
    <w:p>
      <w:r>
        <w:rPr>
          <w:b/>
        </w:rPr>
        <w:t>Project Lead:</w:t>
      </w:r>
    </w:p>
    <w:p>
      <w:r>
        <w:rPr>
          <w:color w:val="CCCCCC"/>
        </w:rPr>
        <w:t>________________________________________________________________________________</w:t>
      </w:r>
    </w:p>
    <w:p>
      <w:r>
        <w:rPr>
          <w:b/>
        </w:rPr>
        <w:t>Start Date:</w:t>
      </w:r>
    </w:p>
    <w:p>
      <w:r>
        <w:rPr>
          <w:color w:val="CCCCCC"/>
        </w:rPr>
        <w:t>________________________________________________________________________________</w:t>
      </w:r>
    </w:p>
    <w:p>
      <w:r>
        <w:rPr>
          <w:b/>
        </w:rPr>
        <w:t>Target Completion:</w:t>
      </w:r>
    </w:p>
    <w:p>
      <w:r>
        <w:rPr>
          <w:color w:val="CCCCCC"/>
        </w:rPr>
        <w:t>________________________________________________________________________________</w:t>
      </w:r>
    </w:p>
    <w:p>
      <w:pPr>
        <w:jc w:val="center"/>
      </w:pPr>
      <w:r>
        <w:rPr>
          <w:color w:val="AAAAAA"/>
          <w:sz w:val="16"/>
        </w:rPr>
        <w:br/>
        <w:br/>
        <w:t>Template provided by Responsible AI Platform | www.aiactblog.nl</w:t>
      </w:r>
    </w:p>
    <w:p>
      <w:r>
        <w:br w:type="page"/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532120" cy="782527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nformity-assessment-roadmap-docx-cta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782527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sz w:val="16"/>
        </w:rPr>
        <w:t xml:space="preserve">Klikbare links: </w:t>
      </w:r>
      <w:hyperlink r:id="rId16">
        <w:r>
          <w:rPr>
            <w:b/>
            <w:color w:val="6366F1"/>
            <w:u w:val="single"/>
          </w:rPr>
          <w:t xml:space="preserve">Start de AI Act quickscan</w:t>
        </w:r>
      </w:hyperlink>
      <w:r>
        <w:rPr>
          <w:sz w:val="16"/>
        </w:rPr>
        <w:t xml:space="preserve">  |  </w:t>
      </w:r>
      <w:hyperlink r:id="rId17">
        <w:r>
          <w:rPr>
            <w:b/>
            <w:color w:val="6366F1"/>
            <w:u w:val="single"/>
          </w:rPr>
          <w:t xml:space="preserve">Bepaal teamgaps per rol</w:t>
        </w:r>
      </w:hyperlink>
    </w:p>
    <w:p>
      <w:pPr>
        <w:jc w:val="center"/>
      </w:pPr>
      <w:r>
        <w:rPr>
          <w:color w:val="FFFFFF"/>
          <w:sz w:val="2"/>
        </w:rPr>
        <w:t>AIACT_BRANDED_CTA_V2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548640" cy="548640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aiactblog-squar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8640" cy="548640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Calibri" w:hAnsi="Calibri"/>
      <w:b/>
      <w:bCs/>
      <w:color w:val="2D5F8A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Calibri" w:hAnsi="Calibri"/>
      <w:b/>
      <w:bCs/>
      <w:color w:val="2D5F8A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Calibri" w:hAnsi="Calibri"/>
      <w:b/>
      <w:bCs/>
      <w:color w:val="2D5F8A"/>
      <w:sz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2.png"/><Relationship Id="rId12" Type="http://schemas.openxmlformats.org/officeDocument/2006/relationships/hyperlink" Target="https://www.embedai.nl/nl/diensten/ai-act-readiness-sprint?utm_source=template&amp;utm_medium=docx&amp;utm_campaign=conformity-assessment-roadmap&amp;utm_content=next-steps-sprint" TargetMode="External"/><Relationship Id="rId13" Type="http://schemas.openxmlformats.org/officeDocument/2006/relationships/image" Target="media/image3.png"/><Relationship Id="rId14" Type="http://schemas.openxmlformats.org/officeDocument/2006/relationships/hyperlink" Target="https://learnwize.ai/try?utm_source=template&amp;utm_medium=docx&amp;utm_campaign=conformity-assessment-roadmap&amp;utm_content=next-steps-academy" TargetMode="External"/><Relationship Id="rId15" Type="http://schemas.openxmlformats.org/officeDocument/2006/relationships/image" Target="media/image4.png"/><Relationship Id="rId16" Type="http://schemas.openxmlformats.org/officeDocument/2006/relationships/hyperlink" Target="https://embedai.nl/nl/tools/ai-readiness-quickscan?utm_source=template&amp;utm_medium=docx&amp;utm_campaign=conformity-assessment-roadmap&amp;utm_content=embed_ai_quickscan" TargetMode="External"/><Relationship Id="rId17" Type="http://schemas.openxmlformats.org/officeDocument/2006/relationships/hyperlink" Target="https://learnwize.ai/nl/assessment?utm_source=template&amp;utm_medium=docx&amp;utm_campaign=conformity-assessment-roadmap&amp;utm_content=learnwize_assessment" TargetMode="Externa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