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/>
    <w:p/>
    <w:p/>
    <w:p>
      <w:pPr>
        <w:jc w:val="center"/>
      </w:pPr>
      <w:r>
        <w:rPr>
          <w:b/>
          <w:color w:val="2D5F8A"/>
          <w:sz w:val="64"/>
        </w:rPr>
        <w:t>AI Transparency</w:t>
        <w:br/>
        <w:t>Notice</w:t>
      </w:r>
    </w:p>
    <w:p>
      <w:pPr>
        <w:jc w:val="center"/>
      </w:pPr>
      <w:r>
        <w:rPr>
          <w:color w:val="666666"/>
          <w:sz w:val="28"/>
        </w:rPr>
        <w:t>Article 50 EU AI Act Compliance</w:t>
        <w:br/>
        <w:t>User Notification Templates</w:t>
      </w:r>
    </w:p>
    <w:p/>
    <w:p/>
    <w:p/>
    <w:p/>
    <w:p>
      <w:pPr>
        <w:jc w:val="center"/>
      </w:pPr>
      <w:r>
        <w:rPr>
          <w:color w:val="999999"/>
          <w:sz w:val="20"/>
        </w:rPr>
        <w:t>Version 1.0  |  March 2026</w:t>
      </w:r>
    </w:p>
    <w:p>
      <w:pPr>
        <w:jc w:val="center"/>
      </w:pPr>
      <w:r>
        <w:rPr>
          <w:color w:val="57534E"/>
          <w:sz w:val="20"/>
        </w:rPr>
        <w:t>Responsible AI Platform</w:t>
      </w:r>
    </w:p>
    <w:p>
      <w:r>
        <w:br w:type="page"/>
      </w:r>
    </w:p>
    <w:p>
      <w:pPr>
        <w:pStyle w:val="Heading1"/>
      </w:pPr>
      <w:r>
        <w:t>1. Purpose</w:t>
      </w:r>
    </w:p>
    <w:p>
      <w:r>
        <w:t>Article 50 of the EU AI Act (applicable from 2 August 2026) imposes transparency obligations on providers and deployers of certain AI systems. This template provides ready-to-use notification texts for different scenarios.</w:t>
      </w:r>
    </w:p>
    <w:p>
      <w:pPr>
        <w:pStyle w:val="Heading1"/>
      </w:pPr>
      <w:r>
        <w:t>2. When Transparency Notices Are Required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20"/>
              </w:rPr>
              <w:t>Scenario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Article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Who Must Notify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Deadline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AI system interacting with persons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50(1)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Provider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2 August 2026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Emotion recognition system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50(3)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Deployer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2 August 2026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Biometric categorization system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50(3)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Deployer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2 August 2026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AI-generated/manipulated content (deepfakes)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50(4)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Provider + Deployer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2 August 2026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AI-generated text published for public information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50(4)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Provider + Deployer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2 August 2026</w:t>
            </w:r>
          </w:p>
        </w:tc>
      </w:tr>
    </w:tbl>
    <w:p/>
    <w:p>
      <w:r>
        <w:br w:type="page"/>
      </w:r>
    </w:p>
    <w:p>
      <w:pPr>
        <w:pStyle w:val="Heading1"/>
      </w:pPr>
      <w:r>
        <w:t>3. Template Notices</w:t>
      </w:r>
    </w:p>
    <w:p>
      <w:pPr>
        <w:pStyle w:val="Heading2"/>
      </w:pPr>
      <w:r>
        <w:t>3.1 Chatbot / Virtual Assistant Notice</w:t>
      </w:r>
    </w:p>
    <w:p>
      <w:r>
        <w:t>Use when deploying a chatbot or virtual assistant that interacts with persons.</w:t>
      </w:r>
    </w:p>
    <w:p>
      <w:pPr>
        <w:ind w:left="567"/>
      </w:pPr>
      <w:r>
        <w:rPr>
          <w:i/>
        </w:rPr>
        <w:t>AI Disclosure: You are interacting with an artificial intelligence system. This [chatbot/virtual assistant] is powered by AI technology. While it aims to provide helpful responses, it may not always be accurate. A human agent is available upon request. [Organization Name] deploys this AI system in accordance with the EU AI Act.</w:t>
      </w:r>
    </w:p>
    <w:p>
      <w:pPr>
        <w:pStyle w:val="Heading2"/>
      </w:pPr>
      <w:r>
        <w:t>3.2 AI-Generated Content Notice</w:t>
      </w:r>
    </w:p>
    <w:p>
      <w:r>
        <w:t>Use when publishing AI-generated or AI-assisted text, images, audio, or video.</w:t>
      </w:r>
    </w:p>
    <w:p>
      <w:pPr>
        <w:ind w:left="567"/>
      </w:pPr>
      <w:r>
        <w:rPr>
          <w:i/>
        </w:rPr>
        <w:t>This content was [generated/assisted] by artificial intelligence. It has been reviewed by [Organization Name] for accuracy. AI-generated elements include: [specify: text/images/data analysis]. In compliance with Article 50 of the EU AI Act, this disclosure is provided to ensure transparency.</w:t>
      </w:r>
    </w:p>
    <w:p>
      <w:pPr>
        <w:pStyle w:val="Heading2"/>
      </w:pPr>
      <w:r>
        <w:t>3.3 Emotion Recognition System Notice</w:t>
      </w:r>
    </w:p>
    <w:p>
      <w:r>
        <w:t>Use when deploying AI that detects emotions or intentions.</w:t>
      </w:r>
    </w:p>
    <w:p>
      <w:pPr>
        <w:ind w:left="567"/>
      </w:pPr>
      <w:r>
        <w:rPr>
          <w:i/>
        </w:rPr>
        <w:t>Notice: This system uses AI-based emotion recognition technology. [Brief description of what is being analyzed, e.g., 'facial expressions during the interview process']. The system processes [type of data] to [purpose]. You have the right to object to this processing. For questions, contact: [contact details]. Processing is carried out in accordance with Article 50(3) of the EU AI Act.</w:t>
      </w:r>
    </w:p>
    <w:p>
      <w:pPr>
        <w:pStyle w:val="Heading2"/>
      </w:pPr>
      <w:r>
        <w:t>3.4 Biometric Categorization Notice</w:t>
      </w:r>
    </w:p>
    <w:p>
      <w:pPr>
        <w:ind w:left="567"/>
      </w:pPr>
      <w:r>
        <w:rPr>
          <w:i/>
        </w:rPr>
        <w:t>Notice: This area uses an AI-based biometric categorization system. The system [brief description of categorization, e.g., 'estimates age range for age verification purposes']. No biometric data is stored beyond the immediate processing. For questions about this system, contact: [contact details]. This notice is provided per Article 50(3) of the EU AI Act.</w:t>
      </w:r>
    </w:p>
    <w:p>
      <w:pPr>
        <w:pStyle w:val="Heading2"/>
      </w:pPr>
      <w:r>
        <w:t>3.5 Deepfake / Synthetic Media Notice</w:t>
      </w:r>
    </w:p>
    <w:p>
      <w:pPr>
        <w:ind w:left="567"/>
      </w:pPr>
      <w:r>
        <w:rPr>
          <w:i/>
        </w:rPr>
        <w:t>AI-Generated Content: This [image/video/audio] has been artificially generated or manipulated using AI technology. It does not represent real events or real statements by depicted individuals. Created using [tool/model name]. Published by [Organization Name] in compliance with Article 50(4) of the EU AI Act.</w:t>
      </w:r>
    </w:p>
    <w:p>
      <w:pPr>
        <w:pStyle w:val="Heading2"/>
      </w:pPr>
      <w:r>
        <w:t>3.6 AI-Assisted Decision Notice</w:t>
      </w:r>
    </w:p>
    <w:p>
      <w:pPr>
        <w:ind w:left="567"/>
      </w:pPr>
      <w:r>
        <w:rPr>
          <w:i/>
        </w:rPr>
        <w:t>This [decision/recommendation/assessment] was supported by an artificial intelligence system. The AI system analyzed [brief description of inputs] to generate [brief description of output]. The final decision was made by [human role/name]. You have the right to request explanation of this decision and to contest it. Contact: [details].</w:t>
      </w:r>
    </w:p>
    <w:p>
      <w:r>
        <w:br w:type="page"/>
      </w:r>
    </w:p>
    <w:p>
      <w:pPr>
        <w:pStyle w:val="Heading1"/>
      </w:pPr>
      <w:r>
        <w:t>4. Implementation Checklist</w:t>
      </w:r>
    </w:p>
    <w:p>
      <w:r>
        <w:rPr>
          <w:sz w:val="22"/>
        </w:rPr>
        <w:t>☐  Inventory all AI systems requiring transparency notices</w:t>
      </w:r>
    </w:p>
    <w:p>
      <w:r>
        <w:rPr>
          <w:sz w:val="22"/>
        </w:rPr>
        <w:t>☐  Select appropriate notice template(s) for each system</w:t>
      </w:r>
    </w:p>
    <w:p>
      <w:r>
        <w:rPr>
          <w:sz w:val="22"/>
        </w:rPr>
        <w:t>☐  Customize template text with organization-specific details</w:t>
      </w:r>
    </w:p>
    <w:p>
      <w:r>
        <w:rPr>
          <w:sz w:val="22"/>
        </w:rPr>
        <w:t>☐  Legal review of customized notices</w:t>
      </w:r>
    </w:p>
    <w:p>
      <w:r>
        <w:rPr>
          <w:sz w:val="22"/>
        </w:rPr>
        <w:t>☐  Determine placement: before interaction, on-screen, in documentation</w:t>
      </w:r>
    </w:p>
    <w:p>
      <w:r>
        <w:rPr>
          <w:sz w:val="22"/>
        </w:rPr>
        <w:t>☐  Implement technical labeling/watermarking for AI-generated content</w:t>
      </w:r>
    </w:p>
    <w:p>
      <w:r>
        <w:rPr>
          <w:sz w:val="22"/>
        </w:rPr>
        <w:t>☐  Train customer-facing staff on transparency requirements</w:t>
      </w:r>
    </w:p>
    <w:p>
      <w:r>
        <w:rPr>
          <w:sz w:val="22"/>
        </w:rPr>
        <w:t>☐  Establish process for updating notices when systems change</w:t>
      </w:r>
    </w:p>
    <w:p>
      <w:r>
        <w:rPr>
          <w:sz w:val="22"/>
        </w:rPr>
        <w:t>☐  Document compliance evidence for regulatory audit</w:t>
      </w:r>
    </w:p>
    <w:p>
      <w:pPr>
        <w:pStyle w:val="Heading1"/>
      </w:pPr>
      <w:r>
        <w:t>5. Technical Labeling Requirements</w:t>
      </w:r>
    </w:p>
    <w:p>
      <w:r>
        <w:t>For AI-generated content (Article 50(2)), providers must ensure outputs are marked in a machine-readable format and detectable as artificially generated or manipulated.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  <w:sz w:val="20"/>
              </w:rPr>
              <w:t>Content Type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Labeling Method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Standard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Images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C2PA metadata, invisible watermark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ISO/IEC (pending)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Video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C2PA metadata, frame-level watermark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ISO/IEC (pending)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Audio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Audio watermark, metadata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ISO/IEC (pending)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Text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Metadata, disclosure label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Best practice (evolving)</w:t>
            </w:r>
          </w:p>
        </w:tc>
      </w:tr>
    </w:tbl>
    <w:p/>
    <w:p>
      <w:pPr>
        <w:jc w:val="center"/>
      </w:pPr>
      <w:r>
        <w:rPr>
          <w:color w:val="AAAAAA"/>
          <w:sz w:val="16"/>
        </w:rPr>
        <w:br/>
        <w:br/>
        <w:t>Template provided by Responsible AI Platform | www.aiactblog.nl</w:t>
      </w:r>
    </w:p>
    <w:p>
      <w:r>
        <w:br w:type="page"/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532120" cy="782527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-transparency-notice-docx-cta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782527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sz w:val="16"/>
        </w:rPr>
        <w:t xml:space="preserve">Klikbare links: </w:t>
      </w:r>
      <w:hyperlink r:id="rId16">
        <w:r>
          <w:rPr>
            <w:b/>
            <w:color w:val="6366F1"/>
            <w:u w:val="single"/>
          </w:rPr>
          <w:t xml:space="preserve">Start de AI Act quickscan</w:t>
        </w:r>
      </w:hyperlink>
      <w:r>
        <w:rPr>
          <w:sz w:val="16"/>
        </w:rPr>
        <w:t xml:space="preserve">  |  </w:t>
      </w:r>
      <w:hyperlink r:id="rId17">
        <w:r>
          <w:rPr>
            <w:b/>
            <w:color w:val="6366F1"/>
            <w:u w:val="single"/>
          </w:rPr>
          <w:t xml:space="preserve">Bepaal teamgaps per rol</w:t>
        </w:r>
      </w:hyperlink>
    </w:p>
    <w:p>
      <w:pPr>
        <w:jc w:val="center"/>
      </w:pPr>
      <w:r>
        <w:rPr>
          <w:color w:val="FFFFFF"/>
          <w:sz w:val="2"/>
        </w:rPr>
        <w:t>AIACT_BRANDED_CTA_V2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548640" cy="548640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aiactblog-squar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8640" cy="548640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libri" w:hAnsi="Calibri"/>
      <w:b/>
      <w:bCs/>
      <w:color w:val="2D5F8A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Calibri" w:hAnsi="Calibri"/>
      <w:b/>
      <w:bCs/>
      <w:color w:val="2D5F8A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Calibri" w:hAnsi="Calibri"/>
      <w:b/>
      <w:bCs/>
      <w:color w:val="2D5F8A"/>
      <w:sz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2.png"/><Relationship Id="rId12" Type="http://schemas.openxmlformats.org/officeDocument/2006/relationships/hyperlink" Target="https://www.embedai.nl/nl/diensten/ai-act-readiness-sprint?utm_source=template&amp;utm_medium=docx&amp;utm_campaign=ai-transparency-notice&amp;utm_content=next-steps-sprint" TargetMode="External"/><Relationship Id="rId13" Type="http://schemas.openxmlformats.org/officeDocument/2006/relationships/image" Target="media/image3.png"/><Relationship Id="rId14" Type="http://schemas.openxmlformats.org/officeDocument/2006/relationships/hyperlink" Target="https://learnwize.ai/try?utm_source=template&amp;utm_medium=docx&amp;utm_campaign=ai-transparency-notice&amp;utm_content=next-steps-academy" TargetMode="External"/><Relationship Id="rId15" Type="http://schemas.openxmlformats.org/officeDocument/2006/relationships/image" Target="media/image4.png"/><Relationship Id="rId16" Type="http://schemas.openxmlformats.org/officeDocument/2006/relationships/hyperlink" Target="https://embedai.nl/nl/tools/ai-readiness-quickscan?utm_source=template&amp;utm_medium=docx&amp;utm_campaign=ai-transparency-notice&amp;utm_content=embed_ai_quickscan" TargetMode="External"/><Relationship Id="rId17" Type="http://schemas.openxmlformats.org/officeDocument/2006/relationships/hyperlink" Target="https://learnwize.ai/nl/assessment?utm_source=template&amp;utm_medium=docx&amp;utm_campaign=ai-transparency-notice&amp;utm_content=learnwize_assessment" TargetMode="Externa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