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/>
    <w:p/>
    <w:p>
      <w:pPr>
        <w:jc w:val="center"/>
      </w:pPr>
      <w:r>
        <w:rPr>
          <w:b/>
          <w:color w:val="2D5F8A"/>
          <w:sz w:val="64"/>
        </w:rPr>
        <w:t>AI Governance</w:t>
        <w:br/>
        <w:t>Framework</w:t>
      </w:r>
    </w:p>
    <w:p>
      <w:pPr>
        <w:jc w:val="center"/>
      </w:pPr>
      <w:r>
        <w:rPr>
          <w:color w:val="666666"/>
          <w:sz w:val="28"/>
        </w:rPr>
        <w:t>Organizational AI Governance Implementation Guide</w:t>
        <w:br/>
        <w:t>EU AI Act Aligned</w:t>
      </w:r>
    </w:p>
    <w:p/>
    <w:p/>
    <w:p/>
    <w:p/>
    <w:p>
      <w:pPr>
        <w:jc w:val="center"/>
      </w:pPr>
      <w:r>
        <w:rPr>
          <w:color w:val="999999"/>
          <w:sz w:val="20"/>
        </w:rPr>
        <w:t>Version 1.0  |  March 2026</w:t>
      </w:r>
    </w:p>
    <w:p>
      <w:pPr>
        <w:jc w:val="center"/>
      </w:pPr>
      <w:r>
        <w:rPr>
          <w:color w:val="57534E"/>
          <w:sz w:val="20"/>
        </w:rPr>
        <w:t>Responsible AI Platform</w:t>
      </w:r>
    </w:p>
    <w:p>
      <w:r>
        <w:br w:type="page"/>
      </w:r>
    </w:p>
    <w:p>
      <w:pPr>
        <w:pStyle w:val="Heading1"/>
      </w:pPr>
      <w:r>
        <w:t>1. Executive Summary</w:t>
      </w:r>
    </w:p>
    <w:p>
      <w:r>
        <w:t>This framework establishes the governance structure, processes, and controls for responsible AI management within [Organization Name]. It aligns with the EU AI Act (Regulation 2024/1689) and integrates with existing governance mechanisms.</w:t>
      </w:r>
    </w:p>
    <w:p>
      <w:r>
        <w:rPr>
          <w:b/>
        </w:rPr>
        <w:t>Organization Name:</w:t>
      </w:r>
    </w:p>
    <w:p>
      <w:r>
        <w:rPr>
          <w:color w:val="CCCCCC"/>
        </w:rPr>
        <w:t>________________________________________________________________________________</w:t>
      </w:r>
    </w:p>
    <w:p>
      <w:r>
        <w:rPr>
          <w:b/>
        </w:rPr>
        <w:t>Industry/Sector:</w:t>
      </w:r>
    </w:p>
    <w:p>
      <w:r>
        <w:rPr>
          <w:color w:val="CCCCCC"/>
        </w:rPr>
        <w:t>________________________________________________________________________________</w:t>
      </w:r>
    </w:p>
    <w:p>
      <w:r>
        <w:rPr>
          <w:b/>
        </w:rPr>
        <w:t>Framework Owner:</w:t>
      </w:r>
    </w:p>
    <w:p>
      <w:r>
        <w:rPr>
          <w:color w:val="CCCCCC"/>
        </w:rPr>
        <w:t>________________________________________________________________________________</w:t>
      </w:r>
    </w:p>
    <w:p>
      <w:r>
        <w:rPr>
          <w:b/>
        </w:rPr>
        <w:t>Effective Date:</w:t>
      </w:r>
    </w:p>
    <w:p>
      <w:r>
        <w:rPr>
          <w:color w:val="CCCCCC"/>
        </w:rPr>
        <w:t>________________________________________________________________________________</w:t>
      </w:r>
    </w:p>
    <w:p>
      <w:pPr>
        <w:pStyle w:val="Heading1"/>
      </w:pPr>
      <w:r>
        <w:t>2. Governance Principles</w:t>
      </w:r>
    </w:p>
    <w:p>
      <w:pPr>
        <w:pStyle w:val="Heading3"/>
      </w:pPr>
      <w:r>
        <w:t>Accountability</w:t>
      </w:r>
    </w:p>
    <w:p>
      <w:r>
        <w:t>Clear ownership and responsibility for all AI systems and their outcomes</w:t>
      </w:r>
    </w:p>
    <w:p>
      <w:pPr>
        <w:pStyle w:val="Heading3"/>
      </w:pPr>
      <w:r>
        <w:t>Transparency</w:t>
      </w:r>
    </w:p>
    <w:p>
      <w:r>
        <w:t>Openness about AI use, capabilities, and limitations to all stakeholders</w:t>
      </w:r>
    </w:p>
    <w:p>
      <w:pPr>
        <w:pStyle w:val="Heading3"/>
      </w:pPr>
      <w:r>
        <w:t>Fairness</w:t>
      </w:r>
    </w:p>
    <w:p>
      <w:r>
        <w:t>Prevention of bias and discrimination in AI systems and their outcomes</w:t>
      </w:r>
    </w:p>
    <w:p>
      <w:pPr>
        <w:pStyle w:val="Heading3"/>
      </w:pPr>
      <w:r>
        <w:t>Safety</w:t>
      </w:r>
    </w:p>
    <w:p>
      <w:r>
        <w:t>Prioritization of safety and security in AI development and deployment</w:t>
      </w:r>
    </w:p>
    <w:p>
      <w:pPr>
        <w:pStyle w:val="Heading3"/>
      </w:pPr>
      <w:r>
        <w:t>Privacy</w:t>
      </w:r>
    </w:p>
    <w:p>
      <w:r>
        <w:t>Protection of personal data and privacy rights in all AI operations</w:t>
      </w:r>
    </w:p>
    <w:p>
      <w:pPr>
        <w:pStyle w:val="Heading3"/>
      </w:pPr>
      <w:r>
        <w:t>Human Agency</w:t>
      </w:r>
    </w:p>
    <w:p>
      <w:r>
        <w:t>Meaningful human oversight and control over AI systems</w:t>
      </w:r>
    </w:p>
    <w:p>
      <w:pPr>
        <w:pStyle w:val="Heading3"/>
      </w:pPr>
      <w:r>
        <w:t>Sustainability</w:t>
      </w:r>
    </w:p>
    <w:p>
      <w:r>
        <w:t>Consideration of environmental and social impact of AI systems</w:t>
      </w:r>
    </w:p>
    <w:p>
      <w:r>
        <w:br w:type="page"/>
      </w:r>
    </w:p>
    <w:p>
      <w:pPr>
        <w:pStyle w:val="Heading1"/>
      </w:pPr>
      <w:r>
        <w:t>3. Three Lines Model for AI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Line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Function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Responsibilities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1st Line: AI Operations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Business units, AI developers, deployers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Day-to-day AI operations; compliance with policies; risk identification; incident reporting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2nd Line: AI Risk &amp; Compliance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AI Officer, Legal, DPO, Risk Management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Policy development; risk assessment oversight; compliance monitoring; training coordination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3rd Line: AI Assurance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Internal Audit, External Audit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Independent assurance; framework effectiveness; regulatory compliance verification</w:t>
            </w:r>
          </w:p>
        </w:tc>
      </w:tr>
    </w:tbl>
    <w:p/>
    <w:p>
      <w:pPr>
        <w:pStyle w:val="Heading1"/>
      </w:pPr>
      <w:r>
        <w:t>4. Governance Bodies</w:t>
      </w:r>
    </w:p>
    <w:p>
      <w:pPr>
        <w:pStyle w:val="Heading2"/>
      </w:pPr>
      <w:r>
        <w:t>4.1 Board / Executive Level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  <w:sz w:val="20"/>
              </w:rPr>
              <w:t>Responsibility</w:t>
            </w:r>
          </w:p>
        </w:tc>
        <w:tc>
          <w:tcPr>
            <w:tcW w:type="dxa" w:w="4320"/>
          </w:tcPr>
          <w:p>
            <w:r>
              <w:rPr>
                <w:b/>
                <w:sz w:val="20"/>
              </w:rPr>
              <w:t>Description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AI Strategy approval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Approve organizational AI strategy and risk appetite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Resource allocation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Ensure adequate budget and personnel for AI governance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Regulatory accountability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Ultimate accountability for EU AI Act compliance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Reporting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Receive quarterly AI governance reports</w:t>
            </w:r>
          </w:p>
        </w:tc>
      </w:tr>
    </w:tbl>
    <w:p/>
    <w:p>
      <w:pPr>
        <w:pStyle w:val="Heading2"/>
      </w:pPr>
      <w:r>
        <w:t>4.2 AI Governance Committee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  <w:sz w:val="20"/>
              </w:rPr>
              <w:t>Aspect</w:t>
            </w:r>
          </w:p>
        </w:tc>
        <w:tc>
          <w:tcPr>
            <w:tcW w:type="dxa" w:w="4320"/>
          </w:tcPr>
          <w:p>
            <w:r>
              <w:rPr>
                <w:b/>
                <w:sz w:val="20"/>
              </w:rPr>
              <w:t>Details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Composition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AI Officer (chair), DPO, Legal, IT, HR, Business representatives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Meeting frequency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Monthly (minimum quarterly)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Decision authority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Approve/reject high-risk AI deployments, policy changes, incident responses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Reporting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Reports to Board/Executive quarterly</w:t>
            </w:r>
          </w:p>
        </w:tc>
      </w:tr>
    </w:tbl>
    <w:p/>
    <w:p>
      <w:pPr>
        <w:pStyle w:val="Heading2"/>
      </w:pPr>
      <w:r>
        <w:t>4.3 AI Officer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  <w:sz w:val="20"/>
              </w:rPr>
              <w:t>Responsibility</w:t>
            </w:r>
          </w:p>
        </w:tc>
        <w:tc>
          <w:tcPr>
            <w:tcW w:type="dxa" w:w="4320"/>
          </w:tcPr>
          <w:p>
            <w:r>
              <w:rPr>
                <w:b/>
                <w:sz w:val="20"/>
              </w:rPr>
              <w:t>Description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Compliance coordination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Day-to-day EU AI Act compliance management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AI Register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Maintain and update the organizational AI register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Risk assessments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Coordinate risk classifications and FRIAs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Training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Oversee AI literacy program (Article 4)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Incident management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Lead AI incident response process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Regulatory liaison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Primary contact for regulators and market surveillance</w:t>
            </w:r>
          </w:p>
        </w:tc>
      </w:tr>
    </w:tbl>
    <w:p/>
    <w:p>
      <w:r>
        <w:br w:type="page"/>
      </w:r>
    </w:p>
    <w:p>
      <w:pPr>
        <w:pStyle w:val="Heading1"/>
      </w:pPr>
      <w:r>
        <w:t>5. Key Processes</w:t>
      </w:r>
    </w:p>
    <w:p>
      <w:pPr>
        <w:pStyle w:val="Heading2"/>
      </w:pPr>
      <w:r>
        <w:t>5.1 AI System Approval Process</w:t>
      </w:r>
    </w:p>
    <w:p>
      <w:pPr>
        <w:pStyle w:val="ListBullet"/>
      </w:pPr>
      <w:r>
        <w:t>Business case submission with intended purpose</w:t>
      </w:r>
    </w:p>
    <w:p>
      <w:pPr>
        <w:pStyle w:val="ListBullet"/>
      </w:pPr>
      <w:r>
        <w:t>Risk classification (prohibited / high / limited / minimal)</w:t>
      </w:r>
    </w:p>
    <w:p>
      <w:pPr>
        <w:pStyle w:val="ListBullet"/>
      </w:pPr>
      <w:r>
        <w:t>Impact assessment (FRIA for high-risk, DPIA for personal data)</w:t>
      </w:r>
    </w:p>
    <w:p>
      <w:pPr>
        <w:pStyle w:val="ListBullet"/>
      </w:pPr>
      <w:r>
        <w:t>Technical review (architecture, data, security)</w:t>
      </w:r>
    </w:p>
    <w:p>
      <w:pPr>
        <w:pStyle w:val="ListBullet"/>
      </w:pPr>
      <w:r>
        <w:t>AI Governance Committee decision</w:t>
      </w:r>
    </w:p>
    <w:p>
      <w:pPr>
        <w:pStyle w:val="ListBullet"/>
      </w:pPr>
      <w:r>
        <w:t>Implementation with controls</w:t>
      </w:r>
    </w:p>
    <w:p>
      <w:pPr>
        <w:pStyle w:val="ListBullet"/>
      </w:pPr>
      <w:r>
        <w:t>Post-deployment monitoring</w:t>
      </w:r>
    </w:p>
    <w:p>
      <w:pPr>
        <w:pStyle w:val="Heading2"/>
      </w:pPr>
      <w:r>
        <w:t>5.2 Ongoing Monitoring</w:t>
      </w:r>
    </w:p>
    <w:p>
      <w:pPr>
        <w:pStyle w:val="ListBullet"/>
      </w:pPr>
      <w:r>
        <w:t>Performance metrics review (monthly)</w:t>
      </w:r>
    </w:p>
    <w:p>
      <w:pPr>
        <w:pStyle w:val="ListBullet"/>
      </w:pPr>
      <w:r>
        <w:t>Bias and fairness audits (quarterly)</w:t>
      </w:r>
    </w:p>
    <w:p>
      <w:pPr>
        <w:pStyle w:val="ListBullet"/>
      </w:pPr>
      <w:r>
        <w:t>Compliance status update (quarterly)</w:t>
      </w:r>
    </w:p>
    <w:p>
      <w:pPr>
        <w:pStyle w:val="ListBullet"/>
      </w:pPr>
      <w:r>
        <w:t>AI register review (quarterly)</w:t>
      </w:r>
    </w:p>
    <w:p>
      <w:pPr>
        <w:pStyle w:val="ListBullet"/>
      </w:pPr>
      <w:r>
        <w:t>Regulatory landscape scan (quarterly)</w:t>
      </w:r>
    </w:p>
    <w:p>
      <w:pPr>
        <w:pStyle w:val="ListBullet"/>
      </w:pPr>
      <w:r>
        <w:t>Stakeholder feedback review (ongoing)</w:t>
      </w:r>
    </w:p>
    <w:p>
      <w:pPr>
        <w:pStyle w:val="Heading2"/>
      </w:pPr>
      <w:r>
        <w:t>5.3 Change Management</w:t>
      </w:r>
    </w:p>
    <w:p>
      <w:pPr>
        <w:pStyle w:val="ListBullet"/>
      </w:pPr>
      <w:r>
        <w:t>Evaluate if change constitutes substantial modification (Art. 25)</w:t>
      </w:r>
    </w:p>
    <w:p>
      <w:pPr>
        <w:pStyle w:val="ListBullet"/>
      </w:pPr>
      <w:r>
        <w:t>If substantial: new conformity assessment required</w:t>
      </w:r>
    </w:p>
    <w:p>
      <w:pPr>
        <w:pStyle w:val="ListBullet"/>
      </w:pPr>
      <w:r>
        <w:t>Update technical documentation</w:t>
      </w:r>
    </w:p>
    <w:p>
      <w:pPr>
        <w:pStyle w:val="ListBullet"/>
      </w:pPr>
      <w:r>
        <w:t>Update AI register</w:t>
      </w:r>
    </w:p>
    <w:p>
      <w:pPr>
        <w:pStyle w:val="ListBullet"/>
      </w:pPr>
      <w:r>
        <w:t>Notify affected stakeholders</w:t>
      </w:r>
    </w:p>
    <w:p>
      <w:pPr>
        <w:pStyle w:val="ListBullet"/>
      </w:pPr>
      <w:r>
        <w:t>Re-train oversight personnel if needed</w:t>
      </w:r>
    </w:p>
    <w:p>
      <w:r>
        <w:br w:type="page"/>
      </w:r>
    </w:p>
    <w:p>
      <w:pPr>
        <w:pStyle w:val="Heading1"/>
      </w:pPr>
      <w:r>
        <w:t>6. Compliance Mapping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  <w:t>EU AI Act Requirement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Internal Process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Responsible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Evidence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Art. 4 - AI Literacy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Training program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HR + AI Officer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Training records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Art. 9 - Risk Management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AI approval process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AI Officer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Risk assessments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Art. 10 - Data Governance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Data management policy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DPO + IT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Data documentation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Art. 11 - Technical Documentation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Documentation standard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AI developers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Technical docs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Art. 12 - Record-keeping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Logging infrastructure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IT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System logs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Art. 13 - Transparency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Transparency notices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Legal + Product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User notices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Art. 14 - Human Oversight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Oversight procedures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Business owners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Oversight records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Art. 26 - Deployer obligations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Deployment checklist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AI Officer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Deployment records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Art. 27 - FRIA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FRIA process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AI Officer + Legal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FRIA documents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Art. 49 - Registration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AI Register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AI Officer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EU database entries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Art. 50 - Transparency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Disclosure templates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Legal + Product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Published notices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Art. 62 - Incident reporting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Incident response plan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AI Officer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Incident reports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Art. 72 - Post-market monitoring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Monitoring framework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AI Officer + IT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Monitoring reports</w:t>
            </w:r>
          </w:p>
        </w:tc>
      </w:tr>
    </w:tbl>
    <w:p/>
    <w:p>
      <w:pPr>
        <w:pStyle w:val="Heading1"/>
      </w:pPr>
      <w:r>
        <w:t>7. Maturity Assessment</w:t>
      </w:r>
    </w:p>
    <w:p>
      <w:r>
        <w:t>Rate your organization's current maturity for each governance area: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  <w:sz w:val="20"/>
              </w:rPr>
              <w:t>Area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Level 1</w:t>
              <w:br/>
              <w:t>Ad Hoc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Level 2</w:t>
              <w:br/>
              <w:t>Defined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Level 3</w:t>
              <w:br/>
              <w:t>Managed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Level 4</w:t>
              <w:br/>
              <w:t>Optimized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AI Strategy &amp; Vision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☐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☐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☐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☐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Governance Structure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☐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☐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☐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☐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Risk Management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☐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☐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☐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☐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Compliance &amp; Legal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☐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☐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☐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☐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Data Governance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☐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☐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☐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☐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AI Literacy &amp; Training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☐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☐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☐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☐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Incident Management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☐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☐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☐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☐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Monitoring &amp; Assurance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☐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☐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☐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☐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Stakeholder Engagement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☐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☐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☐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☐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Ethics &amp; Responsible AI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☐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☐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☐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☐</w:t>
            </w:r>
          </w:p>
        </w:tc>
      </w:tr>
    </w:tbl>
    <w:p/>
    <w:p>
      <w:r>
        <w:br w:type="page"/>
      </w:r>
    </w:p>
    <w:p>
      <w:pPr>
        <w:pStyle w:val="Heading1"/>
      </w:pPr>
      <w:r>
        <w:t>8. Implementation Roadmap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  <w:t>Phase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Timeline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Activities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Deliverables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Foundation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Month 1-2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Appoint AI Officer, establish committee, inventory AI systems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AI Register v1, Governance charter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Policy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Month 2-3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Develop policies, risk classification, approval process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AI Policy, Acceptable Use, Risk framework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Compliance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Month 3-5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FRIA for high-risk systems, documentation, training program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FRIAs, Technical docs, Training curriculum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Operations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Month 5-6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Launch monitoring, incident response, audit program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Dashboards, Incident plan, Audit schedule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Optimization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Ongoing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Continuous improvement, maturity advancement, regulatory updates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Quarterly reports, Updated policies</w:t>
            </w:r>
          </w:p>
        </w:tc>
      </w:tr>
    </w:tbl>
    <w:p/>
    <w:p>
      <w:pPr>
        <w:pStyle w:val="Heading1"/>
      </w:pPr>
      <w:r>
        <w:t>9. Document Control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  <w:t>Version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Date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Author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Changes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1.0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[DD-MM-YYYY]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[Name]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Initial version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</w:tr>
    </w:tbl>
    <w:p/>
    <w:p>
      <w:pPr>
        <w:jc w:val="center"/>
      </w:pPr>
      <w:r>
        <w:rPr>
          <w:color w:val="AAAAAA"/>
          <w:sz w:val="16"/>
        </w:rPr>
        <w:br/>
        <w:br/>
        <w:t>Template provided by Responsible AI Platform | www.aiactblog.nl</w:t>
      </w:r>
    </w:p>
    <w:p>
      <w:r>
        <w:br w:type="page"/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532120" cy="782527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-governance-framework-docx-cta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78252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sz w:val="16"/>
        </w:rPr>
        <w:t xml:space="preserve">Klikbare links: </w:t>
      </w:r>
      <w:hyperlink r:id="rId16">
        <w:r>
          <w:rPr>
            <w:b/>
            <w:color w:val="6366F1"/>
            <w:u w:val="single"/>
          </w:rPr>
          <w:t xml:space="preserve">Start de AI Act quickscan</w:t>
        </w:r>
      </w:hyperlink>
      <w:r>
        <w:rPr>
          <w:sz w:val="16"/>
        </w:rPr>
        <w:t xml:space="preserve">  |  </w:t>
      </w:r>
      <w:hyperlink r:id="rId17">
        <w:r>
          <w:rPr>
            <w:b/>
            <w:color w:val="6366F1"/>
            <w:u w:val="single"/>
          </w:rPr>
          <w:t xml:space="preserve">Bepaal teamgaps per rol</w:t>
        </w:r>
      </w:hyperlink>
    </w:p>
    <w:p>
      <w:pPr>
        <w:jc w:val="center"/>
      </w:pPr>
      <w:r>
        <w:rPr>
          <w:color w:val="FFFFFF"/>
          <w:sz w:val="2"/>
        </w:rPr>
        <w:t>AIACT_BRANDED_CTA_V2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548640" cy="54864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aiactblog-squar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" cy="54864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2D5F8A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2D5F8A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libri" w:hAnsi="Calibri"/>
      <w:b/>
      <w:bCs/>
      <w:color w:val="2D5F8A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2.png"/><Relationship Id="rId12" Type="http://schemas.openxmlformats.org/officeDocument/2006/relationships/hyperlink" Target="https://www.embedai.nl/nl/diensten/ai-act-readiness-sprint?utm_source=template&amp;utm_medium=docx&amp;utm_campaign=ai-governance-framework&amp;utm_content=next-steps-sprint" TargetMode="External"/><Relationship Id="rId13" Type="http://schemas.openxmlformats.org/officeDocument/2006/relationships/image" Target="media/image3.png"/><Relationship Id="rId14" Type="http://schemas.openxmlformats.org/officeDocument/2006/relationships/hyperlink" Target="https://learnwize.ai/try?utm_source=template&amp;utm_medium=docx&amp;utm_campaign=ai-governance-framework&amp;utm_content=next-steps-academy" TargetMode="External"/><Relationship Id="rId15" Type="http://schemas.openxmlformats.org/officeDocument/2006/relationships/image" Target="media/image4.png"/><Relationship Id="rId16" Type="http://schemas.openxmlformats.org/officeDocument/2006/relationships/hyperlink" Target="https://embedai.nl/nl/tools/ai-readiness-quickscan?utm_source=template&amp;utm_medium=docx&amp;utm_campaign=ai-governance-framework&amp;utm_content=embed_ai_quickscan" TargetMode="External"/><Relationship Id="rId17" Type="http://schemas.openxmlformats.org/officeDocument/2006/relationships/hyperlink" Target="https://learnwize.ai/nl/assessment?utm_source=template&amp;utm_medium=docx&amp;utm_campaign=ai-governance-framework&amp;utm_content=learnwize_assessment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